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BF" w:rsidRDefault="00AD71BF" w:rsidP="00AD71BF">
      <w:pPr>
        <w:widowControl w:val="0"/>
        <w:rPr>
          <w:rFonts w:ascii="Calibri" w:hAnsi="Calibri"/>
          <w:b/>
          <w:bCs/>
          <w:color w:val="003366"/>
          <w:sz w:val="40"/>
          <w:szCs w:val="40"/>
        </w:rPr>
      </w:pPr>
    </w:p>
    <w:p w:rsidR="005F73E9" w:rsidRDefault="005F73E9" w:rsidP="000252D0">
      <w:pPr>
        <w:widowControl w:val="0"/>
        <w:jc w:val="center"/>
        <w:rPr>
          <w:rFonts w:ascii="Calibri" w:hAnsi="Calibri"/>
          <w:b/>
          <w:bCs/>
          <w:color w:val="006699"/>
          <w:sz w:val="32"/>
          <w:szCs w:val="32"/>
        </w:rPr>
      </w:pPr>
      <w:r>
        <w:rPr>
          <w:rFonts w:ascii="Calibri" w:hAnsi="Calibri"/>
          <w:b/>
          <w:bCs/>
          <w:color w:val="006699"/>
          <w:sz w:val="32"/>
          <w:szCs w:val="32"/>
        </w:rPr>
        <w:t>Module Descriptions</w:t>
      </w:r>
    </w:p>
    <w:p w:rsidR="005F73E9" w:rsidRDefault="005F73E9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1E0"/>
      </w:tblPr>
      <w:tblGrid>
        <w:gridCol w:w="2448"/>
        <w:gridCol w:w="6300"/>
      </w:tblGrid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Legislative requirements</w:t>
            </w:r>
          </w:p>
          <w:p w:rsidR="00AD71BF" w:rsidRPr="007233AE" w:rsidRDefault="00AD71BF" w:rsidP="00AE33BF">
            <w:pPr>
              <w:widowControl w:val="0"/>
              <w:rPr>
                <w:rFonts w:ascii="Calibri" w:hAnsi="Calibri"/>
                <w:b/>
                <w:bCs/>
                <w:color w:val="006699"/>
                <w:sz w:val="32"/>
                <w:szCs w:val="32"/>
              </w:rPr>
            </w:pPr>
          </w:p>
        </w:tc>
        <w:tc>
          <w:tcPr>
            <w:tcW w:w="6300" w:type="dxa"/>
          </w:tcPr>
          <w:p w:rsidR="00AD71BF" w:rsidRPr="00421978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421978">
              <w:rPr>
                <w:rFonts w:ascii="Calibri" w:hAnsi="Calibri"/>
                <w:sz w:val="22"/>
                <w:szCs w:val="22"/>
              </w:rPr>
              <w:t>rovide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a working knowledge of the Topics include:</w:t>
            </w:r>
          </w:p>
          <w:p w:rsidR="00AD71BF" w:rsidRPr="00421978" w:rsidRDefault="00AD71BF" w:rsidP="00AE33BF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Federal legislation</w:t>
            </w:r>
          </w:p>
          <w:p w:rsidR="00AD71BF" w:rsidRPr="00421978" w:rsidRDefault="00AD71BF" w:rsidP="00AE33BF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The Disability Discrimination Act 1992 (DDA)</w:t>
            </w:r>
          </w:p>
          <w:p w:rsidR="00AD71BF" w:rsidRPr="00421978" w:rsidRDefault="00AD71BF" w:rsidP="00AE33BF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The Disability Standards for Education 2005</w:t>
            </w:r>
          </w:p>
          <w:p w:rsidR="00AD71BF" w:rsidRPr="00421978" w:rsidRDefault="00AD71BF" w:rsidP="00AE33BF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Terminology.</w:t>
            </w:r>
          </w:p>
          <w:p w:rsidR="00AD71BF" w:rsidRPr="00421978" w:rsidRDefault="00AD71BF" w:rsidP="00AE33BF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Victorian legislation</w:t>
            </w:r>
          </w:p>
          <w:p w:rsidR="00AD71BF" w:rsidRDefault="00AD71BF" w:rsidP="00AE33BF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outlineLvl w:val="2"/>
              <w:rPr>
                <w:rFonts w:ascii="Calibri" w:hAnsi="Calibri" w:cs="Arial"/>
                <w:bCs/>
                <w:sz w:val="22"/>
                <w:szCs w:val="22"/>
                <w:lang/>
              </w:rPr>
            </w:pPr>
            <w:r w:rsidRPr="00421978">
              <w:rPr>
                <w:rFonts w:ascii="Calibri" w:hAnsi="Calibri" w:cs="Arial"/>
                <w:bCs/>
                <w:sz w:val="22"/>
                <w:szCs w:val="22"/>
                <w:lang/>
              </w:rPr>
              <w:t>The Victorian Equal Opportunity Act 1995</w:t>
            </w:r>
          </w:p>
          <w:p w:rsidR="00AD71BF" w:rsidRPr="00E63D50" w:rsidRDefault="00AD71BF" w:rsidP="00AE33BF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outlineLvl w:val="2"/>
              <w:rPr>
                <w:rFonts w:ascii="Calibri" w:hAnsi="Calibri" w:cs="Arial"/>
                <w:bCs/>
                <w:sz w:val="22"/>
                <w:szCs w:val="22"/>
                <w:lang/>
              </w:rPr>
            </w:pPr>
            <w:r w:rsidRPr="00421978">
              <w:rPr>
                <w:rFonts w:ascii="Calibri" w:hAnsi="Calibri" w:cs="Arial"/>
                <w:bCs/>
                <w:sz w:val="22"/>
                <w:szCs w:val="22"/>
                <w:lang/>
              </w:rPr>
              <w:t>The Victorian Equal Opportunity and Human Rights Commission.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Dispelling myths</w:t>
            </w:r>
          </w:p>
          <w:p w:rsidR="00AD71BF" w:rsidRPr="007233AE" w:rsidRDefault="00AD71BF" w:rsidP="00AE33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0" w:type="dxa"/>
          </w:tcPr>
          <w:p w:rsidR="00AD71BF" w:rsidRDefault="00AD71BF" w:rsidP="00AE33BF">
            <w:pPr>
              <w:ind w:right="72" w:firstLine="2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Considers some of the common mythologies  around:</w:t>
            </w:r>
          </w:p>
          <w:p w:rsidR="00AD71BF" w:rsidRDefault="00AD71BF" w:rsidP="00AE33BF">
            <w:pPr>
              <w:numPr>
                <w:ilvl w:val="0"/>
                <w:numId w:val="8"/>
              </w:numPr>
              <w:ind w:righ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Disability</w:t>
            </w:r>
          </w:p>
          <w:p w:rsidR="00AD71BF" w:rsidRDefault="00AD71BF" w:rsidP="00AE33BF">
            <w:pPr>
              <w:numPr>
                <w:ilvl w:val="0"/>
                <w:numId w:val="8"/>
              </w:numPr>
              <w:ind w:righ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Intellectual disability</w:t>
            </w:r>
          </w:p>
          <w:p w:rsidR="00AD71BF" w:rsidRDefault="00AD71BF" w:rsidP="00AE33BF">
            <w:pPr>
              <w:numPr>
                <w:ilvl w:val="0"/>
                <w:numId w:val="8"/>
              </w:numPr>
              <w:ind w:righ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Autism</w:t>
            </w:r>
          </w:p>
          <w:p w:rsidR="00AD71BF" w:rsidRDefault="00AD71BF" w:rsidP="00AE33BF">
            <w:pPr>
              <w:numPr>
                <w:ilvl w:val="0"/>
                <w:numId w:val="8"/>
              </w:numPr>
              <w:ind w:righ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disorders</w:t>
            </w:r>
          </w:p>
          <w:p w:rsidR="00AD71BF" w:rsidRDefault="00AD71BF" w:rsidP="00AE33BF">
            <w:pPr>
              <w:numPr>
                <w:ilvl w:val="0"/>
                <w:numId w:val="8"/>
              </w:numPr>
              <w:ind w:righ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Vision impairment </w:t>
            </w:r>
          </w:p>
          <w:p w:rsidR="00AD71BF" w:rsidRDefault="00AD71BF" w:rsidP="00AE33BF">
            <w:pPr>
              <w:numPr>
                <w:ilvl w:val="0"/>
                <w:numId w:val="8"/>
              </w:numPr>
              <w:ind w:righ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Hearing loss</w:t>
            </w:r>
          </w:p>
          <w:p w:rsidR="00AD71BF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 compares them with the facts.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Understanding inclusion</w:t>
            </w:r>
          </w:p>
          <w:p w:rsidR="00AD71BF" w:rsidRPr="007233AE" w:rsidRDefault="00AD71BF" w:rsidP="00AE33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0" w:type="dxa"/>
          </w:tcPr>
          <w:p w:rsidR="00AD71BF" w:rsidRPr="00510E12" w:rsidRDefault="00AD71BF" w:rsidP="00AE33BF">
            <w:pPr>
              <w:rPr>
                <w:rFonts w:ascii="Calibri" w:hAnsi="Calibri" w:cs="Arial"/>
                <w:sz w:val="22"/>
                <w:szCs w:val="22"/>
              </w:rPr>
            </w:pPr>
            <w:r w:rsidRPr="00510E12">
              <w:rPr>
                <w:rFonts w:ascii="Calibri" w:hAnsi="Calibri" w:cs="Arial"/>
                <w:sz w:val="22"/>
                <w:szCs w:val="22"/>
              </w:rPr>
              <w:t>Develop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510E12">
              <w:rPr>
                <w:rFonts w:ascii="Calibri" w:hAnsi="Calibri" w:cs="Arial"/>
                <w:sz w:val="22"/>
                <w:szCs w:val="22"/>
              </w:rPr>
              <w:t xml:space="preserve"> an understanding of what the term “inclusion” means within an educational context. Topics covered include:</w:t>
            </w:r>
          </w:p>
          <w:p w:rsidR="00AD71BF" w:rsidRPr="00510E12" w:rsidRDefault="00AD71BF" w:rsidP="00AE33BF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510E12">
              <w:rPr>
                <w:rFonts w:ascii="Calibri" w:hAnsi="Calibri" w:cs="Arial"/>
                <w:sz w:val="22"/>
                <w:szCs w:val="22"/>
              </w:rPr>
              <w:t>Understanding inclusion</w:t>
            </w:r>
          </w:p>
          <w:p w:rsidR="00AD71BF" w:rsidRPr="00510E12" w:rsidRDefault="00AD71BF" w:rsidP="00AE33BF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510E12">
              <w:rPr>
                <w:rFonts w:ascii="Calibri" w:hAnsi="Calibri" w:cs="Arial"/>
                <w:sz w:val="22"/>
                <w:szCs w:val="22"/>
              </w:rPr>
              <w:t>Inclusion into learning</w:t>
            </w:r>
          </w:p>
          <w:p w:rsidR="00AD71BF" w:rsidRPr="00E63D50" w:rsidRDefault="00AD71BF" w:rsidP="00AE33BF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510E12">
              <w:rPr>
                <w:rFonts w:ascii="Calibri" w:hAnsi="Calibri" w:cs="Arial"/>
                <w:sz w:val="22"/>
                <w:szCs w:val="22"/>
              </w:rPr>
              <w:t>Inclusion tips for ACE providers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Communicating with people with disability</w:t>
            </w:r>
          </w:p>
        </w:tc>
        <w:tc>
          <w:tcPr>
            <w:tcW w:w="6300" w:type="dxa"/>
          </w:tcPr>
          <w:p w:rsidR="00AD71BF" w:rsidRPr="00510E12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Provides an understanding of how we communicate in general and what considerations we might have to make when communicating with people with disability. Includes:</w:t>
            </w:r>
          </w:p>
          <w:p w:rsidR="00AD71BF" w:rsidRPr="00510E12" w:rsidRDefault="00AD71BF" w:rsidP="00AE33BF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 xml:space="preserve">A general theory of communication, </w:t>
            </w:r>
          </w:p>
          <w:p w:rsidR="00AD71BF" w:rsidRPr="00510E12" w:rsidRDefault="00AD71BF" w:rsidP="00AE33BF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How different impairments impact on successful communication and strategies to overcome these impacts,</w:t>
            </w:r>
          </w:p>
          <w:p w:rsidR="00AD71BF" w:rsidRPr="00510E12" w:rsidRDefault="00AD71BF" w:rsidP="00AE33BF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Pr="00510E12">
              <w:rPr>
                <w:rFonts w:ascii="Calibri" w:hAnsi="Calibri"/>
                <w:sz w:val="22"/>
                <w:szCs w:val="22"/>
              </w:rPr>
              <w:t xml:space="preserve">ood practice in communicating with people with </w:t>
            </w:r>
            <w:r>
              <w:rPr>
                <w:rFonts w:ascii="Calibri" w:hAnsi="Calibri"/>
                <w:sz w:val="22"/>
                <w:szCs w:val="22"/>
              </w:rPr>
              <w:t xml:space="preserve">a range of </w:t>
            </w:r>
            <w:r w:rsidRPr="00510E12">
              <w:rPr>
                <w:rFonts w:ascii="Calibri" w:hAnsi="Calibri"/>
                <w:sz w:val="22"/>
                <w:szCs w:val="22"/>
              </w:rPr>
              <w:t>disability.</w:t>
            </w:r>
          </w:p>
          <w:p w:rsidR="00AD71BF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Impacts of disability on learning and strategies to meet them</w:t>
            </w:r>
          </w:p>
        </w:tc>
        <w:tc>
          <w:tcPr>
            <w:tcW w:w="6300" w:type="dxa"/>
          </w:tcPr>
          <w:p w:rsidR="00AD71BF" w:rsidRPr="00510E12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510E12">
              <w:rPr>
                <w:rFonts w:ascii="Calibri" w:hAnsi="Calibri"/>
                <w:sz w:val="22"/>
                <w:szCs w:val="22"/>
              </w:rPr>
              <w:t>ecognise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10E12">
              <w:rPr>
                <w:rFonts w:ascii="Calibri" w:hAnsi="Calibri"/>
                <w:sz w:val="22"/>
                <w:szCs w:val="22"/>
              </w:rPr>
              <w:t xml:space="preserve"> the impact of impairment on learning for people with</w:t>
            </w:r>
            <w:r>
              <w:rPr>
                <w:rFonts w:ascii="Calibri" w:hAnsi="Calibri"/>
                <w:sz w:val="22"/>
                <w:szCs w:val="22"/>
              </w:rPr>
              <w:t xml:space="preserve"> disability and considers</w:t>
            </w:r>
            <w:r w:rsidRPr="00510E12">
              <w:rPr>
                <w:rFonts w:ascii="Calibri" w:hAnsi="Calibri"/>
                <w:sz w:val="22"/>
                <w:szCs w:val="22"/>
              </w:rPr>
              <w:t xml:space="preserve"> strategies to meet these impacts.</w:t>
            </w:r>
            <w:r>
              <w:rPr>
                <w:rFonts w:ascii="Calibri" w:hAnsi="Calibri"/>
                <w:sz w:val="22"/>
                <w:szCs w:val="22"/>
              </w:rPr>
              <w:t xml:space="preserve"> Includes</w:t>
            </w:r>
            <w:r w:rsidRPr="00510E12">
              <w:rPr>
                <w:rFonts w:ascii="Calibri" w:hAnsi="Calibri"/>
                <w:sz w:val="22"/>
                <w:szCs w:val="22"/>
              </w:rPr>
              <w:t>:</w:t>
            </w:r>
          </w:p>
          <w:p w:rsidR="00AD71BF" w:rsidRPr="00510E12" w:rsidRDefault="00AD71BF" w:rsidP="00AE33B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Intellectual disability</w:t>
            </w:r>
          </w:p>
          <w:p w:rsidR="00AD71BF" w:rsidRPr="00510E12" w:rsidRDefault="00AD71BF" w:rsidP="00AE33B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Mental illness</w:t>
            </w:r>
          </w:p>
          <w:p w:rsidR="00AD71BF" w:rsidRPr="00510E12" w:rsidRDefault="00AD71BF" w:rsidP="00AE33B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Autism</w:t>
            </w:r>
          </w:p>
          <w:p w:rsidR="00AD71BF" w:rsidRPr="00510E12" w:rsidRDefault="00AD71BF" w:rsidP="00AE33B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Acquired Brain Injury</w:t>
            </w:r>
          </w:p>
          <w:p w:rsidR="00AD71BF" w:rsidRDefault="00AD71BF" w:rsidP="00AE33B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Physical disability</w:t>
            </w:r>
          </w:p>
          <w:p w:rsidR="00AD71BF" w:rsidRDefault="00AD71BF" w:rsidP="00AE33B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Sensory disability</w:t>
            </w:r>
            <w:r w:rsidRPr="00510E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D71BF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Pre course interviewing</w:t>
            </w:r>
          </w:p>
        </w:tc>
        <w:tc>
          <w:tcPr>
            <w:tcW w:w="6300" w:type="dxa"/>
          </w:tcPr>
          <w:p w:rsidR="00AD71BF" w:rsidRPr="00510E12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Enable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10E12">
              <w:rPr>
                <w:rFonts w:ascii="Calibri" w:hAnsi="Calibri"/>
                <w:sz w:val="22"/>
                <w:szCs w:val="22"/>
              </w:rPr>
              <w:t xml:space="preserve"> teachers and/or administrators to interview students with disability prior to a course in order that they might better complete </w:t>
            </w:r>
            <w:r w:rsidRPr="00510E12">
              <w:rPr>
                <w:rFonts w:ascii="Calibri" w:hAnsi="Calibri"/>
                <w:sz w:val="22"/>
                <w:szCs w:val="22"/>
              </w:rPr>
              <w:lastRenderedPageBreak/>
              <w:t>the A-frame or other learning plans. Includes:</w:t>
            </w:r>
          </w:p>
          <w:p w:rsidR="00AD71BF" w:rsidRPr="00510E12" w:rsidRDefault="00AD71BF" w:rsidP="00AE33B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Why interview</w:t>
            </w:r>
          </w:p>
          <w:p w:rsidR="00AD71BF" w:rsidRPr="00510E12" w:rsidRDefault="00AD71BF" w:rsidP="00AE33B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When to interview</w:t>
            </w:r>
          </w:p>
          <w:p w:rsidR="00AD71BF" w:rsidRPr="00510E12" w:rsidRDefault="00AD71BF" w:rsidP="00AE33B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How to interview</w:t>
            </w:r>
          </w:p>
          <w:p w:rsidR="00AD71BF" w:rsidRPr="00510E12" w:rsidRDefault="00AD71BF" w:rsidP="00AE33B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What to ask</w:t>
            </w:r>
          </w:p>
          <w:p w:rsidR="00AD71BF" w:rsidRPr="00510E12" w:rsidRDefault="00AD71BF" w:rsidP="00AE33BF">
            <w:pPr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Reasons and goals</w:t>
            </w:r>
          </w:p>
          <w:p w:rsidR="00AD71BF" w:rsidRPr="00510E12" w:rsidRDefault="00AD71BF" w:rsidP="00AE33BF">
            <w:pPr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Experience</w:t>
            </w:r>
          </w:p>
          <w:p w:rsidR="00AD71BF" w:rsidRPr="00510E12" w:rsidRDefault="00AD71BF" w:rsidP="00AE33BF">
            <w:pPr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Work skills</w:t>
            </w:r>
          </w:p>
          <w:p w:rsidR="00AD71BF" w:rsidRPr="00510E12" w:rsidRDefault="00AD71BF" w:rsidP="00AE33BF">
            <w:pPr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Learning styles</w:t>
            </w:r>
          </w:p>
          <w:p w:rsidR="00AD71BF" w:rsidRDefault="00AD71BF" w:rsidP="00AE33B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Who can help</w:t>
            </w:r>
          </w:p>
          <w:p w:rsidR="00AD71BF" w:rsidRDefault="00AD71BF" w:rsidP="00AE33B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Outcomes.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lastRenderedPageBreak/>
              <w:t>Classroom management</w:t>
            </w:r>
          </w:p>
        </w:tc>
        <w:tc>
          <w:tcPr>
            <w:tcW w:w="6300" w:type="dxa"/>
          </w:tcPr>
          <w:p w:rsidR="00AD71BF" w:rsidRPr="00510E12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Provides some very basic classroom management techniques. This begins with a revision of adult learning principles and the provision of a supportive learning environment.</w:t>
            </w:r>
          </w:p>
          <w:p w:rsidR="00AD71BF" w:rsidRPr="00510E12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Also included are:</w:t>
            </w:r>
          </w:p>
          <w:p w:rsidR="00AD71BF" w:rsidRPr="00510E12" w:rsidRDefault="00AD71BF" w:rsidP="00AE33B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Development of group a code of conduct</w:t>
            </w:r>
          </w:p>
          <w:p w:rsidR="00AD71BF" w:rsidRPr="00510E12" w:rsidRDefault="00AD71BF" w:rsidP="00AE33B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Use of group learning</w:t>
            </w:r>
          </w:p>
          <w:p w:rsidR="00AD71BF" w:rsidRDefault="00AD71BF" w:rsidP="00AE33B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Behaviour management</w:t>
            </w:r>
          </w:p>
          <w:p w:rsidR="00AD71BF" w:rsidRDefault="00AD71BF" w:rsidP="00AE33B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General good practice strategies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Working with support workers</w:t>
            </w:r>
          </w:p>
        </w:tc>
        <w:tc>
          <w:tcPr>
            <w:tcW w:w="6300" w:type="dxa"/>
          </w:tcPr>
          <w:p w:rsidR="00AD71BF" w:rsidRPr="00510E12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Discusses:</w:t>
            </w:r>
          </w:p>
          <w:p w:rsidR="00AD71BF" w:rsidRPr="00510E12" w:rsidRDefault="00AD71BF" w:rsidP="00AE33BF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The differences in support workers: their roles and what can be expected from them</w:t>
            </w:r>
          </w:p>
          <w:p w:rsidR="00AD71BF" w:rsidRDefault="00AD71BF" w:rsidP="00AE33BF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Ways in which education providers can use support workers to best benefit the person they are supporting and the class in general.</w:t>
            </w:r>
          </w:p>
          <w:p w:rsidR="00AD71BF" w:rsidRDefault="00AD71BF" w:rsidP="00AE33BF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510E12">
              <w:rPr>
                <w:rFonts w:ascii="Calibri" w:hAnsi="Calibri"/>
                <w:sz w:val="22"/>
                <w:szCs w:val="22"/>
              </w:rPr>
              <w:t>Support worker policies.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Disability action planning</w:t>
            </w:r>
          </w:p>
        </w:tc>
        <w:tc>
          <w:tcPr>
            <w:tcW w:w="6300" w:type="dxa"/>
          </w:tcPr>
          <w:p w:rsidR="00AD71BF" w:rsidRPr="00510E12" w:rsidRDefault="00AD71BF" w:rsidP="00AE33B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Considers</w:t>
            </w:r>
          </w:p>
          <w:p w:rsidR="00AD71BF" w:rsidRPr="00510E12" w:rsidRDefault="00AD71BF" w:rsidP="00AE33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</w:t>
            </w:r>
            <w:r w:rsidRPr="00510E12">
              <w:rPr>
                <w:rFonts w:ascii="Calibri" w:hAnsi="Calibri"/>
                <w:bCs/>
                <w:color w:val="000000"/>
                <w:sz w:val="22"/>
                <w:szCs w:val="22"/>
              </w:rPr>
              <w:t>hat a disability plan is</w:t>
            </w:r>
          </w:p>
          <w:p w:rsidR="00AD71BF" w:rsidRPr="00510E12" w:rsidRDefault="00AD71BF" w:rsidP="00AE33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</w:t>
            </w:r>
            <w:r w:rsidRPr="00510E12">
              <w:rPr>
                <w:rFonts w:ascii="Calibri" w:hAnsi="Calibri"/>
                <w:bCs/>
                <w:color w:val="000000"/>
                <w:sz w:val="22"/>
                <w:szCs w:val="22"/>
              </w:rPr>
              <w:t>easons for having a disability action plan</w:t>
            </w:r>
          </w:p>
          <w:p w:rsidR="00AD71BF" w:rsidRPr="00510E12" w:rsidRDefault="00AD71BF" w:rsidP="00AE33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10E1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How to develop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and implement </w:t>
            </w:r>
            <w:r w:rsidRPr="00510E12">
              <w:rPr>
                <w:rFonts w:ascii="Calibri" w:hAnsi="Calibri"/>
                <w:bCs/>
                <w:color w:val="000000"/>
                <w:sz w:val="22"/>
                <w:szCs w:val="22"/>
              </w:rPr>
              <w:t>a disability action plan.</w:t>
            </w:r>
          </w:p>
          <w:p w:rsidR="00AD71BF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Duty of Care</w:t>
            </w:r>
          </w:p>
          <w:p w:rsidR="00AD71BF" w:rsidRPr="007233AE" w:rsidRDefault="00AD71BF" w:rsidP="00AE33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0" w:type="dxa"/>
          </w:tcPr>
          <w:p w:rsidR="00AD71BF" w:rsidRPr="000F5B86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 w:rsidRPr="000F5B86">
              <w:rPr>
                <w:rFonts w:ascii="Calibri" w:hAnsi="Calibri"/>
                <w:sz w:val="22"/>
                <w:szCs w:val="22"/>
              </w:rPr>
              <w:t>Discusses:</w:t>
            </w:r>
          </w:p>
          <w:p w:rsidR="00AD71BF" w:rsidRPr="000F5B86" w:rsidRDefault="00AD71BF" w:rsidP="00AE33BF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F5B86">
              <w:rPr>
                <w:rFonts w:ascii="Calibri" w:hAnsi="Calibri"/>
                <w:sz w:val="22"/>
                <w:szCs w:val="22"/>
              </w:rPr>
              <w:t>What Duty of care is including categories of care and standard of care</w:t>
            </w:r>
          </w:p>
          <w:p w:rsidR="00AD71BF" w:rsidRPr="000F5B86" w:rsidRDefault="00AD71BF" w:rsidP="00AE33BF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F5B86">
              <w:rPr>
                <w:rFonts w:ascii="Calibri" w:hAnsi="Calibri"/>
                <w:sz w:val="22"/>
                <w:szCs w:val="22"/>
              </w:rPr>
              <w:t>Who is responsible and negligence</w:t>
            </w:r>
          </w:p>
          <w:p w:rsidR="00AD71BF" w:rsidRPr="000F5B86" w:rsidRDefault="00AD71BF" w:rsidP="00AE33BF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F5B86">
              <w:rPr>
                <w:rFonts w:ascii="Calibri" w:hAnsi="Calibri"/>
                <w:sz w:val="22"/>
                <w:szCs w:val="22"/>
              </w:rPr>
              <w:t xml:space="preserve">Issues relating to duty of care and people with disability </w:t>
            </w:r>
          </w:p>
          <w:p w:rsidR="00AD71BF" w:rsidRPr="000F5B86" w:rsidRDefault="00AD71BF" w:rsidP="00AE33BF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0F5B86">
              <w:rPr>
                <w:rFonts w:ascii="Calibri" w:hAnsi="Calibri"/>
                <w:sz w:val="22"/>
                <w:szCs w:val="22"/>
              </w:rPr>
              <w:t>Dignity of risk</w:t>
            </w:r>
          </w:p>
          <w:p w:rsidR="00AD71BF" w:rsidRDefault="00AD71BF" w:rsidP="00AE33BF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0F5B86">
              <w:rPr>
                <w:rFonts w:ascii="Calibri" w:hAnsi="Calibri"/>
                <w:sz w:val="22"/>
                <w:szCs w:val="22"/>
              </w:rPr>
              <w:t>Confidentiality</w:t>
            </w:r>
          </w:p>
          <w:p w:rsidR="00AD71BF" w:rsidRDefault="00AD71BF" w:rsidP="00AE33BF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0F5B86">
              <w:rPr>
                <w:rFonts w:ascii="Calibri" w:hAnsi="Calibri"/>
                <w:sz w:val="22"/>
                <w:szCs w:val="22"/>
              </w:rPr>
              <w:t>Good practices.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Managing volunteers with disability</w:t>
            </w:r>
          </w:p>
          <w:p w:rsidR="00AD71BF" w:rsidRPr="007233AE" w:rsidRDefault="00AD71BF" w:rsidP="00AE33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0" w:type="dxa"/>
          </w:tcPr>
          <w:p w:rsidR="00AD71BF" w:rsidRPr="000F5B86" w:rsidRDefault="00AD71BF" w:rsidP="00AE33BF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0F5B86">
              <w:rPr>
                <w:rFonts w:ascii="Calibri" w:hAnsi="Calibri"/>
                <w:sz w:val="22"/>
                <w:szCs w:val="22"/>
              </w:rPr>
              <w:t>utline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0F5B86">
              <w:rPr>
                <w:rFonts w:ascii="Calibri" w:hAnsi="Calibri"/>
                <w:sz w:val="22"/>
                <w:szCs w:val="22"/>
              </w:rPr>
              <w:t xml:space="preserve"> the rights and responsibilities of volunteers</w:t>
            </w:r>
          </w:p>
          <w:p w:rsidR="00AD71BF" w:rsidRPr="000F5B86" w:rsidRDefault="00AD71BF" w:rsidP="00AE33BF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Considers</w:t>
            </w:r>
            <w:r w:rsidRPr="000F5B86">
              <w:rPr>
                <w:rFonts w:ascii="Calibri" w:hAnsi="Calibri"/>
                <w:sz w:val="22"/>
                <w:szCs w:val="22"/>
              </w:rPr>
              <w:t xml:space="preserve"> some of the adjustments that may have to be made to accommodate volunteers with disability</w:t>
            </w:r>
          </w:p>
          <w:p w:rsidR="00AD71BF" w:rsidRDefault="00AD71BF" w:rsidP="00AE33BF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Discusses</w:t>
            </w:r>
            <w:r w:rsidRPr="000F5B86">
              <w:rPr>
                <w:rFonts w:ascii="Calibri" w:hAnsi="Calibri"/>
                <w:sz w:val="22"/>
                <w:szCs w:val="22"/>
              </w:rPr>
              <w:t xml:space="preserve"> the recruitment and induction processes of volunteers with disability </w:t>
            </w:r>
          </w:p>
          <w:p w:rsidR="00AD71BF" w:rsidRDefault="00AD71BF" w:rsidP="00AE33BF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Describes</w:t>
            </w:r>
            <w:r w:rsidRPr="000F5B86">
              <w:rPr>
                <w:rFonts w:ascii="Calibri" w:hAnsi="Calibri"/>
                <w:sz w:val="22"/>
                <w:szCs w:val="22"/>
              </w:rPr>
              <w:t xml:space="preserve"> mentoring.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What is disability?</w:t>
            </w:r>
          </w:p>
          <w:p w:rsidR="00AD71BF" w:rsidRPr="007233AE" w:rsidRDefault="00AD71BF" w:rsidP="00AE33BF">
            <w:pPr>
              <w:widowControl w:val="0"/>
              <w:rPr>
                <w:rFonts w:ascii="Calibri" w:hAnsi="Calibri"/>
                <w:b/>
                <w:bCs/>
                <w:color w:val="006699"/>
                <w:sz w:val="32"/>
                <w:szCs w:val="32"/>
              </w:rPr>
            </w:pPr>
          </w:p>
        </w:tc>
        <w:tc>
          <w:tcPr>
            <w:tcW w:w="6300" w:type="dxa"/>
          </w:tcPr>
          <w:p w:rsidR="00AD71BF" w:rsidRPr="00421978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</w:t>
            </w:r>
            <w:r w:rsidRPr="00421978">
              <w:rPr>
                <w:rFonts w:ascii="Calibri" w:hAnsi="Calibri"/>
                <w:sz w:val="22"/>
                <w:szCs w:val="22"/>
              </w:rPr>
              <w:t>rovide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an overall understanding of what is meant by disability and how our understanding of it has evolved.</w:t>
            </w:r>
          </w:p>
          <w:p w:rsidR="00AD71BF" w:rsidRDefault="00AD71BF" w:rsidP="00AE33B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Considers trends and statistics regarding disability</w:t>
            </w:r>
          </w:p>
          <w:p w:rsidR="00AD71BF" w:rsidRPr="00421978" w:rsidRDefault="00AD71BF" w:rsidP="00AE33B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421978">
              <w:rPr>
                <w:rFonts w:ascii="Calibri" w:hAnsi="Calibri"/>
                <w:sz w:val="22"/>
                <w:szCs w:val="22"/>
              </w:rPr>
              <w:t>ompare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definitions of disability within </w:t>
            </w:r>
            <w:smartTag w:uri="urn:schemas-microsoft-com:office:smarttags" w:element="place">
              <w:smartTag w:uri="urn:schemas-microsoft-com:office:smarttags" w:element="country-region">
                <w:r w:rsidRPr="00421978">
                  <w:rPr>
                    <w:rFonts w:ascii="Calibri" w:hAnsi="Calibri"/>
                    <w:sz w:val="22"/>
                    <w:szCs w:val="22"/>
                  </w:rPr>
                  <w:t>Australia</w:t>
                </w:r>
              </w:smartTag>
            </w:smartTag>
            <w:r w:rsidRPr="00421978">
              <w:rPr>
                <w:rFonts w:ascii="Calibri" w:hAnsi="Calibri"/>
                <w:sz w:val="22"/>
                <w:szCs w:val="22"/>
              </w:rPr>
              <w:t xml:space="preserve"> in order to consider the usefulness of each definition within different contexts</w:t>
            </w:r>
          </w:p>
          <w:p w:rsidR="00AD71BF" w:rsidRPr="00421978" w:rsidRDefault="00AD71BF" w:rsidP="00AE33B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the historical progression in thinking about disability</w:t>
            </w:r>
          </w:p>
          <w:p w:rsidR="00AD71BF" w:rsidRDefault="00AD71BF" w:rsidP="00AE33B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Follows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the theoretical underpinnings of current thinking about disability in </w:t>
            </w:r>
            <w:smartTag w:uri="urn:schemas-microsoft-com:office:smarttags" w:element="place">
              <w:smartTag w:uri="urn:schemas-microsoft-com:office:smarttags" w:element="country-region">
                <w:r w:rsidRPr="00421978">
                  <w:rPr>
                    <w:rFonts w:ascii="Calibri" w:hAnsi="Calibri"/>
                    <w:sz w:val="22"/>
                    <w:szCs w:val="22"/>
                  </w:rPr>
                  <w:t>Australia</w:t>
                </w:r>
              </w:smartTag>
            </w:smartTag>
          </w:p>
          <w:p w:rsidR="00AD71BF" w:rsidRPr="00E63D50" w:rsidRDefault="00AD71BF" w:rsidP="00AE33B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appropriate and inappropriate terminology when referring to disability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lastRenderedPageBreak/>
              <w:t>How does the disability/mental health sector work?</w:t>
            </w:r>
          </w:p>
          <w:p w:rsidR="00AD71BF" w:rsidRPr="007233AE" w:rsidRDefault="00AD71BF" w:rsidP="00AE33BF">
            <w:pPr>
              <w:widowControl w:val="0"/>
              <w:rPr>
                <w:rFonts w:ascii="Calibri" w:hAnsi="Calibri"/>
                <w:b/>
                <w:bCs/>
                <w:color w:val="006699"/>
                <w:sz w:val="32"/>
                <w:szCs w:val="32"/>
              </w:rPr>
            </w:pPr>
          </w:p>
        </w:tc>
        <w:tc>
          <w:tcPr>
            <w:tcW w:w="6300" w:type="dxa"/>
          </w:tcPr>
          <w:p w:rsidR="00AD71BF" w:rsidRPr="00421978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421978">
              <w:rPr>
                <w:rFonts w:ascii="Calibri" w:hAnsi="Calibri"/>
                <w:sz w:val="22"/>
                <w:szCs w:val="22"/>
              </w:rPr>
              <w:t>onsider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the framework that the disability and mental health services work within in order to be able to understand the constraints under which some participants live and learn. These include:</w:t>
            </w:r>
          </w:p>
          <w:p w:rsidR="00AD71BF" w:rsidRPr="00421978" w:rsidRDefault="00AD71BF" w:rsidP="00AE33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The Victorian disability framework</w:t>
            </w:r>
          </w:p>
          <w:p w:rsidR="00AD71BF" w:rsidRPr="00421978" w:rsidRDefault="00AD71BF" w:rsidP="00AE33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Disability Services</w:t>
            </w:r>
          </w:p>
          <w:p w:rsidR="00AD71BF" w:rsidRPr="00421978" w:rsidRDefault="00AD71BF" w:rsidP="00AE33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Mental Health Services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D71BF" w:rsidRDefault="00AD71BF" w:rsidP="00AE33BF">
            <w:pPr>
              <w:widowControl w:val="0"/>
              <w:rPr>
                <w:rFonts w:ascii="Calibri" w:hAnsi="Calibri"/>
                <w:b/>
                <w:bCs/>
                <w:color w:val="006699"/>
                <w:sz w:val="32"/>
                <w:szCs w:val="3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d.    </w:t>
            </w:r>
            <w:r w:rsidRPr="00421978">
              <w:rPr>
                <w:rFonts w:ascii="Calibri" w:hAnsi="Calibri"/>
                <w:sz w:val="22"/>
                <w:szCs w:val="22"/>
              </w:rPr>
              <w:t>Funding.</w:t>
            </w:r>
          </w:p>
        </w:tc>
      </w:tr>
      <w:tr w:rsidR="00AD71BF" w:rsidTr="00AE33BF">
        <w:tc>
          <w:tcPr>
            <w:tcW w:w="2448" w:type="dxa"/>
          </w:tcPr>
          <w:p w:rsidR="00AD71BF" w:rsidRPr="007233AE" w:rsidRDefault="00AD71BF" w:rsidP="00AE33BF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7233AE">
              <w:rPr>
                <w:rFonts w:ascii="Calibri" w:hAnsi="Calibri" w:cs="Arial"/>
                <w:b/>
              </w:rPr>
              <w:t>Working with the disability/mental health sector</w:t>
            </w:r>
          </w:p>
          <w:p w:rsidR="00AD71BF" w:rsidRPr="007233AE" w:rsidRDefault="00AD71BF" w:rsidP="00AE33BF">
            <w:pPr>
              <w:widowControl w:val="0"/>
              <w:rPr>
                <w:rFonts w:ascii="Calibri" w:hAnsi="Calibri"/>
                <w:b/>
                <w:bCs/>
                <w:color w:val="006699"/>
                <w:sz w:val="32"/>
                <w:szCs w:val="32"/>
              </w:rPr>
            </w:pPr>
          </w:p>
        </w:tc>
        <w:tc>
          <w:tcPr>
            <w:tcW w:w="6300" w:type="dxa"/>
          </w:tcPr>
          <w:p w:rsidR="00AD71BF" w:rsidRPr="00421978" w:rsidRDefault="00AD71BF" w:rsidP="00AE33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Explores</w:t>
            </w:r>
            <w:r w:rsidRPr="00421978">
              <w:rPr>
                <w:rFonts w:ascii="Calibri" w:hAnsi="Calibri"/>
                <w:sz w:val="22"/>
                <w:szCs w:val="22"/>
              </w:rPr>
              <w:t xml:space="preserve"> the parameters that staff from the disability and mental health services work within in order to be able to encourage productive working relationships for the benefit of participants.  Topics include:</w:t>
            </w:r>
          </w:p>
          <w:p w:rsidR="00AD71BF" w:rsidRPr="00421978" w:rsidRDefault="00AD71BF" w:rsidP="00AE33B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Common parameters</w:t>
            </w:r>
          </w:p>
          <w:p w:rsidR="00AD71BF" w:rsidRPr="00421978" w:rsidRDefault="00AD71BF" w:rsidP="00AE33B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Disability and inter-sector p</w:t>
            </w:r>
            <w:r w:rsidRPr="00421978">
              <w:rPr>
                <w:rFonts w:ascii="Calibri" w:hAnsi="Calibri"/>
                <w:sz w:val="22"/>
                <w:szCs w:val="22"/>
              </w:rPr>
              <w:t>lanning</w:t>
            </w:r>
          </w:p>
          <w:p w:rsidR="00AD71BF" w:rsidRDefault="00AD71BF" w:rsidP="00AE33B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21978">
              <w:rPr>
                <w:rFonts w:ascii="Calibri" w:hAnsi="Calibri"/>
                <w:sz w:val="22"/>
                <w:szCs w:val="22"/>
              </w:rPr>
              <w:t>Protocols</w:t>
            </w:r>
          </w:p>
          <w:p w:rsidR="00AD71BF" w:rsidRPr="00E63D50" w:rsidRDefault="00AD71BF" w:rsidP="00AE33B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Working with s</w:t>
            </w:r>
            <w:r w:rsidRPr="00421978">
              <w:rPr>
                <w:rFonts w:ascii="Calibri" w:hAnsi="Calibri"/>
                <w:sz w:val="22"/>
                <w:szCs w:val="22"/>
              </w:rPr>
              <w:t>upport</w:t>
            </w:r>
            <w:r>
              <w:rPr>
                <w:rFonts w:ascii="Calibri" w:hAnsi="Calibri"/>
                <w:sz w:val="22"/>
                <w:szCs w:val="22"/>
              </w:rPr>
              <w:t xml:space="preserve"> workers</w:t>
            </w:r>
          </w:p>
        </w:tc>
      </w:tr>
    </w:tbl>
    <w:p w:rsidR="000252D0" w:rsidRDefault="000252D0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0252D0" w:rsidRDefault="000252D0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0252D0" w:rsidRDefault="000252D0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AD71BF" w:rsidRDefault="00AD71BF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AD71BF" w:rsidRDefault="00AD71BF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AD71BF" w:rsidRDefault="00AD71BF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AD71BF" w:rsidRDefault="00AD71BF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AD71BF" w:rsidRDefault="00AD71BF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AD71BF" w:rsidRDefault="00AD71BF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AD71BF" w:rsidRDefault="00AD71BF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0252D0" w:rsidRDefault="000252D0" w:rsidP="00827BD6">
      <w:pPr>
        <w:widowControl w:val="0"/>
        <w:rPr>
          <w:rFonts w:ascii="Calibri" w:hAnsi="Calibri"/>
          <w:b/>
          <w:bCs/>
          <w:color w:val="003366"/>
          <w:sz w:val="40"/>
          <w:szCs w:val="40"/>
        </w:rPr>
      </w:pPr>
    </w:p>
    <w:sectPr w:rsidR="000252D0" w:rsidSect="00AD71BF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F7" w:rsidRDefault="00F96BF7">
      <w:r>
        <w:separator/>
      </w:r>
    </w:p>
  </w:endnote>
  <w:endnote w:type="continuationSeparator" w:id="0">
    <w:p w:rsidR="00F96BF7" w:rsidRDefault="00F9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A" w:rsidRDefault="007F0AC7" w:rsidP="0043698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AD71B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B9041A" w:rsidRDefault="00F96BF7" w:rsidP="00B904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A" w:rsidRDefault="007F0AC7" w:rsidP="0043698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AD71B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827BD6">
      <w:rPr>
        <w:rStyle w:val="PageNumber"/>
        <w:rFonts w:eastAsiaTheme="majorEastAsia"/>
        <w:noProof/>
      </w:rPr>
      <w:t>3</w:t>
    </w:r>
    <w:r>
      <w:rPr>
        <w:rStyle w:val="PageNumber"/>
        <w:rFonts w:eastAsiaTheme="majorEastAsia"/>
      </w:rPr>
      <w:fldChar w:fldCharType="end"/>
    </w:r>
  </w:p>
  <w:p w:rsidR="00B9041A" w:rsidRDefault="00F96BF7" w:rsidP="00B904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F7" w:rsidRDefault="00F96BF7">
      <w:r>
        <w:separator/>
      </w:r>
    </w:p>
  </w:footnote>
  <w:footnote w:type="continuationSeparator" w:id="0">
    <w:p w:rsidR="00F96BF7" w:rsidRDefault="00F96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3B"/>
    <w:multiLevelType w:val="multilevel"/>
    <w:tmpl w:val="5F54A830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D29"/>
    <w:multiLevelType w:val="hybridMultilevel"/>
    <w:tmpl w:val="A94083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C37A9"/>
    <w:multiLevelType w:val="hybridMultilevel"/>
    <w:tmpl w:val="F79A7D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D5B70"/>
    <w:multiLevelType w:val="hybridMultilevel"/>
    <w:tmpl w:val="CC44D940"/>
    <w:lvl w:ilvl="0" w:tplc="22B61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1752B8"/>
    <w:multiLevelType w:val="hybridMultilevel"/>
    <w:tmpl w:val="51DE282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31773"/>
    <w:multiLevelType w:val="hybridMultilevel"/>
    <w:tmpl w:val="8D3CAB1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148F0"/>
    <w:multiLevelType w:val="hybridMultilevel"/>
    <w:tmpl w:val="85A47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2481D"/>
    <w:multiLevelType w:val="hybridMultilevel"/>
    <w:tmpl w:val="84DC92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4030B"/>
    <w:multiLevelType w:val="hybridMultilevel"/>
    <w:tmpl w:val="F0220BF6"/>
    <w:lvl w:ilvl="0" w:tplc="22B61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6584C"/>
    <w:multiLevelType w:val="multilevel"/>
    <w:tmpl w:val="53DC9AD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90962"/>
    <w:multiLevelType w:val="hybridMultilevel"/>
    <w:tmpl w:val="28F8112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FB1F1E"/>
    <w:multiLevelType w:val="hybridMultilevel"/>
    <w:tmpl w:val="0F12798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A802D9"/>
    <w:multiLevelType w:val="hybridMultilevel"/>
    <w:tmpl w:val="E27C392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F419B0"/>
    <w:multiLevelType w:val="hybridMultilevel"/>
    <w:tmpl w:val="E5548E6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2B610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4563824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4B2AC8"/>
    <w:multiLevelType w:val="hybridMultilevel"/>
    <w:tmpl w:val="0C543B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A1A4A"/>
    <w:multiLevelType w:val="hybridMultilevel"/>
    <w:tmpl w:val="A0348074"/>
    <w:lvl w:ilvl="0" w:tplc="22B61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76DEB"/>
    <w:multiLevelType w:val="hybridMultilevel"/>
    <w:tmpl w:val="223836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C4AB6"/>
    <w:multiLevelType w:val="hybridMultilevel"/>
    <w:tmpl w:val="8CF296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BC55CF"/>
    <w:multiLevelType w:val="hybridMultilevel"/>
    <w:tmpl w:val="7C1CB0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862CBB"/>
    <w:multiLevelType w:val="hybridMultilevel"/>
    <w:tmpl w:val="5A04A60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B217F"/>
    <w:multiLevelType w:val="hybridMultilevel"/>
    <w:tmpl w:val="8B20EAA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CDA7827"/>
    <w:multiLevelType w:val="hybridMultilevel"/>
    <w:tmpl w:val="788AE39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3"/>
  </w:num>
  <w:num w:numId="5">
    <w:abstractNumId w:val="19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  <w:num w:numId="16">
    <w:abstractNumId w:val="21"/>
  </w:num>
  <w:num w:numId="17">
    <w:abstractNumId w:val="2"/>
  </w:num>
  <w:num w:numId="18">
    <w:abstractNumId w:val="8"/>
  </w:num>
  <w:num w:numId="19">
    <w:abstractNumId w:val="20"/>
  </w:num>
  <w:num w:numId="20">
    <w:abstractNumId w:val="16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D0"/>
    <w:rsid w:val="000252D0"/>
    <w:rsid w:val="001D3D67"/>
    <w:rsid w:val="005F73E9"/>
    <w:rsid w:val="006B3E64"/>
    <w:rsid w:val="007F0AC7"/>
    <w:rsid w:val="00827BD6"/>
    <w:rsid w:val="00AD71BF"/>
    <w:rsid w:val="00F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252D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Footer">
    <w:name w:val="footer"/>
    <w:basedOn w:val="Normal"/>
    <w:link w:val="FooterChar"/>
    <w:rsid w:val="000252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52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52D0"/>
  </w:style>
  <w:style w:type="character" w:styleId="Hyperlink">
    <w:name w:val="Hyperlink"/>
    <w:basedOn w:val="DefaultParagraphFont"/>
    <w:rsid w:val="000252D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7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252D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Footer">
    <w:name w:val="footer"/>
    <w:basedOn w:val="Normal"/>
    <w:link w:val="FooterChar"/>
    <w:rsid w:val="000252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52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52D0"/>
  </w:style>
  <w:style w:type="character" w:styleId="Hyperlink">
    <w:name w:val="Hyperlink"/>
    <w:basedOn w:val="DefaultParagraphFont"/>
    <w:rsid w:val="000252D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7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2E39-3F2B-4356-B6A7-6203B328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Yooralla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Buckingham</dc:creator>
  <cp:keywords/>
  <dc:description/>
  <cp:lastModifiedBy>.</cp:lastModifiedBy>
  <cp:revision>2</cp:revision>
  <cp:lastPrinted>2012-08-07T00:39:00Z</cp:lastPrinted>
  <dcterms:created xsi:type="dcterms:W3CDTF">2012-08-07T00:45:00Z</dcterms:created>
  <dcterms:modified xsi:type="dcterms:W3CDTF">2012-08-07T00:45:00Z</dcterms:modified>
</cp:coreProperties>
</file>